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EF05" w14:textId="4B96ED8D" w:rsidR="006B19BA" w:rsidRDefault="00000000" w:rsidP="00E44EE0">
      <w:pPr>
        <w:rPr>
          <w:rFonts w:ascii="Aptos Narrow" w:eastAsia="Aptos Narrow" w:hAnsi="Aptos Narrow" w:cs="Aptos Narrow"/>
          <w:b/>
          <w:bCs/>
          <w:color w:val="1155CC"/>
          <w:sz w:val="40"/>
          <w:szCs w:val="40"/>
        </w:rPr>
      </w:pPr>
      <w:r>
        <w:rPr>
          <w:rFonts w:ascii="Aptos Narrow" w:eastAsia="Aptos Narrow" w:hAnsi="Aptos Narrow" w:cs="Aptos Narrow"/>
          <w:b/>
          <w:bCs/>
          <w:color w:val="1155CC"/>
          <w:sz w:val="40"/>
          <w:szCs w:val="40"/>
        </w:rPr>
        <w:t>Programa académico</w:t>
      </w:r>
    </w:p>
    <w:p w14:paraId="339B7B44" w14:textId="77777777" w:rsidR="006B19BA" w:rsidRDefault="00000000">
      <w:pPr>
        <w:rPr>
          <w:rFonts w:ascii="Aptos Narrow" w:eastAsia="Aptos Narrow" w:hAnsi="Aptos Narrow" w:cs="Aptos Narrow"/>
          <w:color w:val="0F1115"/>
        </w:rPr>
      </w:pPr>
      <w:proofErr w:type="gramStart"/>
      <w:r>
        <w:rPr>
          <w:rFonts w:ascii="Aptos Narrow" w:eastAsia="Aptos Narrow" w:hAnsi="Aptos Narrow" w:cs="Aptos Narrow"/>
          <w:color w:val="0F1115"/>
        </w:rPr>
        <w:t>Disertantes  (</w:t>
      </w:r>
      <w:proofErr w:type="gramEnd"/>
      <w:r>
        <w:rPr>
          <w:rFonts w:ascii="Aptos Narrow" w:eastAsia="Aptos Narrow" w:hAnsi="Aptos Narrow" w:cs="Aptos Narrow"/>
          <w:color w:val="0F1115"/>
        </w:rPr>
        <w:t>30 minutos incluido tiempo de preguntas)</w:t>
      </w:r>
    </w:p>
    <w:p w14:paraId="6ED4C17B" w14:textId="77777777" w:rsidR="006B19BA" w:rsidRDefault="00000000">
      <w:pPr>
        <w:rPr>
          <w:rFonts w:ascii="Aptos Narrow" w:eastAsia="Aptos Narrow" w:hAnsi="Aptos Narrow" w:cs="Aptos Narrow"/>
          <w:color w:val="0F1115"/>
          <w:highlight w:val="yellow"/>
        </w:rPr>
      </w:pPr>
      <w:r>
        <w:rPr>
          <w:rFonts w:ascii="Aptos Narrow" w:eastAsia="Aptos Narrow" w:hAnsi="Aptos Narrow" w:cs="Aptos Narrow"/>
          <w:color w:val="0F1115"/>
        </w:rPr>
        <w:t xml:space="preserve">Presentaciones orales a cargo de estudiantes doctorales (10 minutos incluido el tiempo de preguntas) </w:t>
      </w:r>
    </w:p>
    <w:p w14:paraId="730F8D75" w14:textId="77777777" w:rsidR="006B19BA" w:rsidRDefault="00000000">
      <w:pPr>
        <w:rPr>
          <w:rFonts w:ascii="Aptos Narrow" w:eastAsia="Aptos Narrow" w:hAnsi="Aptos Narrow" w:cs="Aptos Narrow"/>
          <w:b/>
          <w:bCs/>
          <w:color w:val="0B5394"/>
          <w:sz w:val="28"/>
          <w:szCs w:val="28"/>
        </w:rPr>
      </w:pPr>
      <w:r>
        <w:rPr>
          <w:rFonts w:ascii="Aptos Narrow" w:eastAsia="Aptos Narrow" w:hAnsi="Aptos Narrow" w:cs="Aptos Narrow"/>
          <w:b/>
          <w:bCs/>
          <w:color w:val="0B5394"/>
          <w:sz w:val="28"/>
          <w:szCs w:val="28"/>
        </w:rPr>
        <w:t xml:space="preserve">Día 1 — </w:t>
      </w:r>
      <w:proofErr w:type="gramStart"/>
      <w:r>
        <w:rPr>
          <w:rFonts w:ascii="Aptos Narrow" w:eastAsia="Aptos Narrow" w:hAnsi="Aptos Narrow" w:cs="Aptos Narrow"/>
          <w:b/>
          <w:bCs/>
          <w:color w:val="0B5394"/>
          <w:sz w:val="28"/>
          <w:szCs w:val="28"/>
        </w:rPr>
        <w:t>Jueves</w:t>
      </w:r>
      <w:proofErr w:type="gramEnd"/>
      <w:r>
        <w:rPr>
          <w:rFonts w:ascii="Aptos Narrow" w:eastAsia="Aptos Narrow" w:hAnsi="Aptos Narrow" w:cs="Aptos Narrow"/>
          <w:b/>
          <w:bCs/>
          <w:color w:val="0B5394"/>
          <w:sz w:val="28"/>
          <w:szCs w:val="28"/>
        </w:rPr>
        <w:t xml:space="preserve"> 20 de agosto de 2026</w:t>
      </w:r>
    </w:p>
    <w:p w14:paraId="36B2B26C" w14:textId="77777777" w:rsidR="006B19BA" w:rsidRDefault="00000000">
      <w:r>
        <w:rPr>
          <w:rFonts w:ascii="Aptos Narrow" w:eastAsia="Aptos Narrow" w:hAnsi="Aptos Narrow" w:cs="Aptos Narrow"/>
          <w:b/>
          <w:bCs/>
          <w:color w:val="3F4E65"/>
          <w:sz w:val="27"/>
          <w:szCs w:val="27"/>
        </w:rPr>
        <w:t>Enfoque: Inmunología traslacional, plataformas vacunales y Una Salud</w:t>
      </w:r>
    </w:p>
    <w:tbl>
      <w:tblPr>
        <w:tblStyle w:val="a"/>
        <w:tblW w:w="84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55"/>
        <w:gridCol w:w="6435"/>
      </w:tblGrid>
      <w:tr w:rsidR="006B19BA" w14:paraId="00A5ECAB" w14:textId="77777777">
        <w:trPr>
          <w:tblHeader/>
        </w:trPr>
        <w:tc>
          <w:tcPr>
            <w:tcW w:w="2055" w:type="dxa"/>
            <w:tcBorders>
              <w:top w:val="single" w:sz="8" w:space="0" w:color="D8E2DC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shd w:val="clear" w:color="auto" w:fill="EAF1EC"/>
            <w:tcMar>
              <w:top w:w="150" w:type="dxa"/>
              <w:left w:w="150" w:type="dxa"/>
              <w:bottom w:w="150" w:type="dxa"/>
              <w:right w:w="200" w:type="dxa"/>
            </w:tcMar>
            <w:vAlign w:val="center"/>
          </w:tcPr>
          <w:p w14:paraId="0073A8E3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203126"/>
                <w:sz w:val="22"/>
                <w:szCs w:val="22"/>
              </w:rPr>
              <w:t>Horario</w:t>
            </w:r>
          </w:p>
        </w:tc>
        <w:tc>
          <w:tcPr>
            <w:tcW w:w="6435" w:type="dxa"/>
            <w:tcBorders>
              <w:top w:val="single" w:sz="8" w:space="0" w:color="D8E2DC"/>
              <w:left w:val="nil"/>
              <w:bottom w:val="single" w:sz="8" w:space="0" w:color="6B8F71"/>
              <w:right w:val="single" w:sz="8" w:space="0" w:color="D8E2DC"/>
            </w:tcBorders>
            <w:shd w:val="clear" w:color="auto" w:fill="EAF1EC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 w14:paraId="7022C329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203126"/>
                <w:sz w:val="22"/>
                <w:szCs w:val="22"/>
              </w:rPr>
              <w:t>Actividad</w:t>
            </w:r>
          </w:p>
        </w:tc>
      </w:tr>
      <w:tr w:rsidR="006B19BA" w14:paraId="18334EEA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78750301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08:30 - 09:00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3C0147FB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Apertura y bienvenida</w:t>
            </w: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– Comité Científico</w:t>
            </w:r>
          </w:p>
        </w:tc>
      </w:tr>
      <w:tr w:rsidR="006B19BA" w14:paraId="44FA1898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20" w:type="dxa"/>
              <w:left w:w="150" w:type="dxa"/>
              <w:bottom w:w="120" w:type="dxa"/>
              <w:right w:w="200" w:type="dxa"/>
            </w:tcMar>
            <w:vAlign w:val="center"/>
          </w:tcPr>
          <w:p w14:paraId="03671B9D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BLOQUE 1: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59AF6C8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Enfoque: Inmunología traslacional, plataformas vacunales y Una Salud</w:t>
            </w:r>
          </w:p>
        </w:tc>
      </w:tr>
      <w:tr w:rsidR="006B19BA" w14:paraId="75887565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498E5310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09:00 - 09:30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74157077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Gabriel Morón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Identificación de blancos moleculares que aumenten la presentación de antígenos y mejoren la respuesta a vacunas basadas en células dendríticas</w:t>
            </w:r>
          </w:p>
        </w:tc>
      </w:tr>
      <w:tr w:rsidR="006B19BA" w14:paraId="2511CD24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0F0CA0C0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09:30 - 10:00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727F9F5E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Carina Porporatto –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 La Inmunidad innata entrenada como estrategia vacunal: </w:t>
            </w:r>
            <w:r>
              <w:rPr>
                <w:rFonts w:ascii="Arial" w:eastAsia="Arial" w:hAnsi="Arial" w:cs="Arial"/>
                <w:i/>
                <w:iCs/>
              </w:rPr>
              <w:t>implicancias y aplicaciones en salud humana y animal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6B19BA" w14:paraId="44EBB94F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36F79873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10:00 - 10:30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53A03A5C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  <w:sz w:val="22"/>
                <w:szCs w:val="22"/>
                <w:highlight w:val="white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Nicolás </w:t>
            </w:r>
            <w:proofErr w:type="spellStart"/>
            <w:r>
              <w:rPr>
                <w:rFonts w:ascii="Aptos Narrow" w:eastAsia="Aptos Narrow" w:hAnsi="Aptos Narrow" w:cs="Aptos Narrow"/>
                <w:sz w:val="22"/>
                <w:szCs w:val="22"/>
              </w:rPr>
              <w:t>Nuñez</w:t>
            </w:r>
            <w:proofErr w:type="spellEnd"/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Diseccionando la respuesta a vacunas con herramientas </w:t>
            </w:r>
            <w:proofErr w:type="spellStart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multiómicas</w:t>
            </w:r>
            <w:proofErr w:type="spellEnd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 de alta dimensionalidad </w:t>
            </w:r>
            <w:r>
              <w:rPr>
                <w:rFonts w:ascii="Aptos Narrow" w:eastAsia="Aptos Narrow" w:hAnsi="Aptos Narrow" w:cs="Aptos Narrow"/>
                <w:sz w:val="22"/>
                <w:szCs w:val="22"/>
                <w:highlight w:val="white"/>
              </w:rPr>
              <w:t>(virtual)</w:t>
            </w:r>
          </w:p>
        </w:tc>
      </w:tr>
      <w:tr w:rsidR="006B19BA" w14:paraId="10B608DD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2230D608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10:30 - 11:00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468FAB93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Pausa café</w:t>
            </w:r>
          </w:p>
        </w:tc>
      </w:tr>
      <w:tr w:rsidR="006B19BA" w14:paraId="704DB420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20" w:type="dxa"/>
              <w:left w:w="150" w:type="dxa"/>
              <w:bottom w:w="120" w:type="dxa"/>
              <w:right w:w="200" w:type="dxa"/>
            </w:tcMar>
            <w:vAlign w:val="center"/>
          </w:tcPr>
          <w:p w14:paraId="327EAD53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BLOQUE 2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0CC14FB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 xml:space="preserve">Predicción antigénica y estrategias de </w:t>
            </w:r>
            <w:proofErr w:type="spellStart"/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delivery</w:t>
            </w:r>
            <w:proofErr w:type="spellEnd"/>
          </w:p>
        </w:tc>
      </w:tr>
      <w:tr w:rsidR="006B19BA" w14:paraId="00597FE2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700432BF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11:00 - 11:30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6C1BC4CB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Belkys Maletto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Identificación in </w:t>
            </w:r>
            <w:proofErr w:type="spellStart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silico</w:t>
            </w:r>
            <w:proofErr w:type="spellEnd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 de candidatos antigénicos y evaluación experimental de una vacuna contra </w:t>
            </w:r>
            <w:proofErr w:type="spellStart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Avibacterium</w:t>
            </w:r>
            <w:proofErr w:type="spellEnd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paragallinarum</w:t>
            </w:r>
            <w:proofErr w:type="spellEnd"/>
          </w:p>
        </w:tc>
      </w:tr>
      <w:tr w:rsidR="006B19BA" w14:paraId="00DC94D4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048BB661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11:30 - 12:00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7EE06055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Valeria Tekiel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Estrategias innovadoras de </w:t>
            </w:r>
            <w:proofErr w:type="spellStart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delivery</w:t>
            </w:r>
            <w:proofErr w:type="spellEnd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 de antígenos de T. </w:t>
            </w:r>
            <w:proofErr w:type="spellStart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cruzi</w:t>
            </w:r>
            <w:proofErr w:type="spellEnd"/>
          </w:p>
        </w:tc>
      </w:tr>
      <w:tr w:rsidR="006B19BA" w14:paraId="3659C97F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29464496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12:00 - 12:30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07C1F17C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Espacio de preguntas y discusión integradora</w:t>
            </w:r>
          </w:p>
        </w:tc>
      </w:tr>
      <w:tr w:rsidR="006B19BA" w14:paraId="08D75EBE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2D93EC1C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12:30 - 13:30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1ED5BD99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Almuerzo</w:t>
            </w:r>
          </w:p>
        </w:tc>
      </w:tr>
      <w:tr w:rsidR="006B19BA" w14:paraId="00E0DDDC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20" w:type="dxa"/>
              <w:left w:w="150" w:type="dxa"/>
              <w:bottom w:w="120" w:type="dxa"/>
              <w:right w:w="200" w:type="dxa"/>
            </w:tcMar>
            <w:vAlign w:val="center"/>
          </w:tcPr>
          <w:p w14:paraId="495A4F6D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BLOQUE 3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8A5EF7A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Adyuvantes y nuevas plataformas vacunales</w:t>
            </w:r>
          </w:p>
        </w:tc>
      </w:tr>
      <w:tr w:rsidR="006B19BA" w14:paraId="152FA9CF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4DABFFC9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13:30 - 14:00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5A80AB12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  <w:i/>
                <w:iCs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Lorena Coria –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Inhibidores de proteasas: una estrategia innovadora para adyuvantes de vacunas </w:t>
            </w:r>
            <w:proofErr w:type="spellStart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mucosales</w:t>
            </w:r>
            <w:proofErr w:type="spellEnd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6B19BA" w14:paraId="05AFC83E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60921CA0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lastRenderedPageBreak/>
              <w:t>14:00 - 14:30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60610954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Daniela Hozbor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Vesículas de Membrana Externa como Plataforma Vacunal Versátil</w:t>
            </w:r>
          </w:p>
        </w:tc>
      </w:tr>
      <w:tr w:rsidR="006B19BA" w14:paraId="356AD17A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43A19524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14:30 - 15:00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28E35CC6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Pausa café</w:t>
            </w:r>
          </w:p>
        </w:tc>
      </w:tr>
      <w:tr w:rsidR="006B19BA" w14:paraId="6209D50E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5DF2FBFA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15:00 - 15:30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4DB98AAC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Presentaciones Orales (3)</w:t>
            </w:r>
          </w:p>
        </w:tc>
      </w:tr>
      <w:tr w:rsidR="006B19BA" w14:paraId="271E31EA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20" w:type="dxa"/>
              <w:left w:w="150" w:type="dxa"/>
              <w:bottom w:w="120" w:type="dxa"/>
              <w:right w:w="200" w:type="dxa"/>
            </w:tcMar>
            <w:vAlign w:val="center"/>
          </w:tcPr>
          <w:p w14:paraId="2E3F5B7E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BLOQUE 4: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FA5CFB5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Modelos experimentales y dimorfismo sexual</w:t>
            </w:r>
          </w:p>
        </w:tc>
      </w:tr>
      <w:tr w:rsidR="006B19BA" w14:paraId="780D18F6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4C6DABB5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15:30 - 16:00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26612675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Ana Rosa </w:t>
            </w:r>
            <w:proofErr w:type="spellStart"/>
            <w:r>
              <w:rPr>
                <w:rFonts w:ascii="Aptos Narrow" w:eastAsia="Aptos Narrow" w:hAnsi="Aptos Narrow" w:cs="Aptos Narrow"/>
                <w:sz w:val="22"/>
                <w:szCs w:val="22"/>
              </w:rPr>
              <w:t>Perez</w:t>
            </w:r>
            <w:proofErr w:type="spellEnd"/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Influencia del dimorfismo sexual en modelos experimentales para evaluación de vacunas</w:t>
            </w:r>
          </w:p>
        </w:tc>
      </w:tr>
      <w:tr w:rsidR="006B19BA" w14:paraId="6FBFEDCB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20" w:type="dxa"/>
              <w:left w:w="150" w:type="dxa"/>
              <w:bottom w:w="120" w:type="dxa"/>
              <w:right w:w="200" w:type="dxa"/>
            </w:tcMar>
            <w:vAlign w:val="center"/>
          </w:tcPr>
          <w:p w14:paraId="298399FE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BLOQUE 5: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8B76C3B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Una Salud – Enfermedades zoonóticas y cambio climático</w:t>
            </w:r>
          </w:p>
        </w:tc>
      </w:tr>
      <w:tr w:rsidR="006B19BA" w14:paraId="66169F41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31128733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16:00 - 16:30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2ED96C25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Mariana Ferrero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Nuevos inmunógenos para brucelosis porcina</w:t>
            </w:r>
          </w:p>
        </w:tc>
      </w:tr>
      <w:tr w:rsidR="006B19BA" w14:paraId="77EA2C87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0CE87C53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16:30 - 17:00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4DF62B5B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Iván Bontempi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Migración de vectores por cambio climático: tripanosomiasis bovina</w:t>
            </w:r>
          </w:p>
        </w:tc>
      </w:tr>
      <w:tr w:rsidR="006B19BA" w14:paraId="364B042F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6DBB3B84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17:00 - 17:30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42E71630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Jorge Diego Marco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Vacunas para leishmaniasis local bajo enfoque Una Salud</w:t>
            </w:r>
          </w:p>
        </w:tc>
      </w:tr>
      <w:tr w:rsidR="006B19BA" w14:paraId="1E239447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76EC4342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17:30 - 18:00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60DD200E" w14:textId="77777777" w:rsidR="006B19BA" w:rsidRDefault="00000000">
            <w:pPr>
              <w:spacing w:after="0" w:line="240" w:lineRule="auto"/>
              <w:jc w:val="both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Mariano Larrazal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Vacuna contra E. </w:t>
            </w:r>
            <w:proofErr w:type="spellStart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coli</w:t>
            </w:r>
            <w:proofErr w:type="spellEnd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 O157:H7 en bovinos para Síndrome Urémico Hemolítico</w:t>
            </w:r>
          </w:p>
        </w:tc>
      </w:tr>
      <w:tr w:rsidR="006B19BA" w14:paraId="285CE5E1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20" w:type="dxa"/>
              <w:left w:w="150" w:type="dxa"/>
              <w:bottom w:w="120" w:type="dxa"/>
              <w:right w:w="200" w:type="dxa"/>
            </w:tcMar>
            <w:vAlign w:val="center"/>
          </w:tcPr>
          <w:p w14:paraId="55FC1D71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 xml:space="preserve">BLOQUE 9: 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40253FD" w14:textId="77777777" w:rsidR="006B19BA" w:rsidRDefault="00000000">
            <w:pPr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Comunicación científica</w:t>
            </w:r>
          </w:p>
        </w:tc>
      </w:tr>
      <w:tr w:rsidR="006B19BA" w14:paraId="7FCC8676" w14:textId="77777777">
        <w:tc>
          <w:tcPr>
            <w:tcW w:w="2055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0EEBC1D5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18:00 - 18:30 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0577BABC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Soledad Gori-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Estrategias de comunicación científica y combate de la desinformación en vacunología (Videoconferencia)</w:t>
            </w:r>
          </w:p>
          <w:p w14:paraId="5D43742B" w14:textId="77777777" w:rsidR="006B19BA" w:rsidRDefault="006B19BA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  <w:highlight w:val="yellow"/>
              </w:rPr>
            </w:pPr>
          </w:p>
        </w:tc>
      </w:tr>
    </w:tbl>
    <w:p w14:paraId="644F4BD6" w14:textId="77777777" w:rsidR="006B19BA" w:rsidRDefault="00000000">
      <w:pPr>
        <w:pStyle w:val="Ttulo2"/>
        <w:spacing w:before="480" w:after="160"/>
        <w:rPr>
          <w:rFonts w:ascii="Aptos Narrow" w:eastAsia="Aptos Narrow" w:hAnsi="Aptos Narrow" w:cs="Aptos Narrow"/>
          <w:b/>
          <w:bCs/>
          <w:color w:val="0B5394"/>
          <w:sz w:val="28"/>
          <w:szCs w:val="28"/>
        </w:rPr>
      </w:pPr>
      <w:r>
        <w:rPr>
          <w:rFonts w:ascii="Aptos Narrow" w:eastAsia="Aptos Narrow" w:hAnsi="Aptos Narrow" w:cs="Aptos Narrow"/>
          <w:b/>
          <w:bCs/>
          <w:color w:val="0B5394"/>
          <w:sz w:val="28"/>
          <w:szCs w:val="28"/>
        </w:rPr>
        <w:t>Día 2 — viernes 21 de agosto de 2026</w:t>
      </w:r>
    </w:p>
    <w:p w14:paraId="511D2B08" w14:textId="77777777" w:rsidR="006B19BA" w:rsidRDefault="00000000">
      <w:pPr>
        <w:spacing w:after="240"/>
        <w:rPr>
          <w:rFonts w:ascii="Aptos Narrow" w:eastAsia="Aptos Narrow" w:hAnsi="Aptos Narrow" w:cs="Aptos Narrow"/>
        </w:rPr>
      </w:pPr>
      <w:r>
        <w:rPr>
          <w:rFonts w:ascii="Aptos Narrow" w:eastAsia="Aptos Narrow" w:hAnsi="Aptos Narrow" w:cs="Aptos Narrow"/>
          <w:b/>
          <w:bCs/>
          <w:color w:val="3F4E65"/>
          <w:sz w:val="27"/>
          <w:szCs w:val="27"/>
        </w:rPr>
        <w:t>Enfoque: Epidemiología, políticas públicas, seguridad clínica, regulación y comunicación</w:t>
      </w:r>
    </w:p>
    <w:tbl>
      <w:tblPr>
        <w:tblStyle w:val="a0"/>
        <w:tblW w:w="847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20"/>
        <w:gridCol w:w="6555"/>
      </w:tblGrid>
      <w:tr w:rsidR="006B19BA" w14:paraId="5D9C59BA" w14:textId="77777777">
        <w:trPr>
          <w:tblHeader/>
        </w:trPr>
        <w:tc>
          <w:tcPr>
            <w:tcW w:w="1920" w:type="dxa"/>
            <w:tcBorders>
              <w:top w:val="single" w:sz="8" w:space="0" w:color="D8E2DC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shd w:val="clear" w:color="auto" w:fill="EAF1EC"/>
            <w:tcMar>
              <w:top w:w="150" w:type="dxa"/>
              <w:left w:w="150" w:type="dxa"/>
              <w:bottom w:w="150" w:type="dxa"/>
              <w:right w:w="200" w:type="dxa"/>
            </w:tcMar>
            <w:vAlign w:val="center"/>
          </w:tcPr>
          <w:p w14:paraId="6708A706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203126"/>
                <w:sz w:val="22"/>
                <w:szCs w:val="22"/>
              </w:rPr>
              <w:t>Horario</w:t>
            </w:r>
          </w:p>
        </w:tc>
        <w:tc>
          <w:tcPr>
            <w:tcW w:w="6555" w:type="dxa"/>
            <w:tcBorders>
              <w:top w:val="single" w:sz="8" w:space="0" w:color="D8E2DC"/>
              <w:left w:val="nil"/>
              <w:bottom w:val="single" w:sz="8" w:space="0" w:color="6B8F71"/>
              <w:right w:val="single" w:sz="8" w:space="0" w:color="D8E2DC"/>
            </w:tcBorders>
            <w:shd w:val="clear" w:color="auto" w:fill="EAF1EC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 w14:paraId="51FC7835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203126"/>
                <w:sz w:val="22"/>
                <w:szCs w:val="22"/>
              </w:rPr>
              <w:t>Actividad</w:t>
            </w:r>
          </w:p>
        </w:tc>
      </w:tr>
      <w:tr w:rsidR="006B19BA" w14:paraId="082AC1BA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20" w:type="dxa"/>
              <w:left w:w="150" w:type="dxa"/>
              <w:bottom w:w="120" w:type="dxa"/>
              <w:right w:w="200" w:type="dxa"/>
            </w:tcMar>
            <w:vAlign w:val="center"/>
          </w:tcPr>
          <w:p w14:paraId="522B118E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 xml:space="preserve">BLOQUE 6: 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94D5E62" w14:textId="77777777" w:rsidR="006B19BA" w:rsidRDefault="00000000">
            <w:pPr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Epidemiología y coberturas vacunales</w:t>
            </w:r>
          </w:p>
        </w:tc>
      </w:tr>
      <w:tr w:rsidR="006B19BA" w14:paraId="62F2625B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6B56B42A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09:00 - 09:30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784AA6EA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Gabriel Fabricius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Impacto de la baja de coberturas vacunales en </w:t>
            </w:r>
            <w:proofErr w:type="spellStart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pertussis</w:t>
            </w:r>
            <w:proofErr w:type="spellEnd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: aportes desde el modelado matemático</w:t>
            </w:r>
          </w:p>
        </w:tc>
      </w:tr>
      <w:tr w:rsidR="006B19BA" w14:paraId="1998DA10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07B426F0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lastRenderedPageBreak/>
              <w:t>9:30 - 10:00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25466B8E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Mirta </w:t>
            </w:r>
            <w:proofErr w:type="gramStart"/>
            <w:r>
              <w:rPr>
                <w:rFonts w:ascii="Aptos Narrow" w:eastAsia="Aptos Narrow" w:hAnsi="Aptos Narrow" w:cs="Aptos Narrow"/>
                <w:sz w:val="22"/>
                <w:szCs w:val="22"/>
              </w:rPr>
              <w:t>Magarino  –</w:t>
            </w:r>
            <w:proofErr w:type="gramEnd"/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La importancia de las vacunas en la erradicación de viejas enfermedades humanas</w:t>
            </w:r>
          </w:p>
        </w:tc>
      </w:tr>
      <w:tr w:rsidR="006B19BA" w14:paraId="3BB5FDEA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20" w:type="dxa"/>
              <w:left w:w="150" w:type="dxa"/>
              <w:bottom w:w="120" w:type="dxa"/>
              <w:right w:w="200" w:type="dxa"/>
            </w:tcMar>
            <w:vAlign w:val="center"/>
          </w:tcPr>
          <w:p w14:paraId="17F2697D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 xml:space="preserve">BLOQUE 7: 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9C59370" w14:textId="77777777" w:rsidR="006B19BA" w:rsidRDefault="00000000">
            <w:pPr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Rol de las vacunas en los desafíos sanitarios actuales</w:t>
            </w:r>
          </w:p>
        </w:tc>
      </w:tr>
      <w:tr w:rsidR="006B19BA" w14:paraId="673D53CE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4FDAC5C2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10:00 - 10:30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16E195D2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Silvia González Ayala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Resistencia antimicrobiana y vacunas</w:t>
            </w:r>
          </w:p>
        </w:tc>
      </w:tr>
      <w:tr w:rsidR="006B19BA" w14:paraId="69EA4E7C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36C500B8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10:30 - 11: 00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3EB9687D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Pausa café</w:t>
            </w:r>
          </w:p>
        </w:tc>
      </w:tr>
      <w:tr w:rsidR="006B19BA" w14:paraId="52A155E8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5CD1EB66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BLOQUE 8: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7C4087A9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 xml:space="preserve">Del desarrollo a la </w:t>
            </w:r>
            <w:proofErr w:type="spellStart"/>
            <w:r>
              <w:rPr>
                <w:rFonts w:ascii="Aptos Narrow" w:eastAsia="Aptos Narrow" w:hAnsi="Aptos Narrow" w:cs="Aptos Narrow"/>
                <w:b/>
                <w:bCs/>
                <w:color w:val="355E3B"/>
                <w:sz w:val="22"/>
                <w:szCs w:val="22"/>
              </w:rPr>
              <w:t>implementacion</w:t>
            </w:r>
            <w:proofErr w:type="spellEnd"/>
          </w:p>
        </w:tc>
      </w:tr>
      <w:tr w:rsidR="006B19BA" w14:paraId="1908AEF6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12697455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11:00 - 11:30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72A0AC8E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Luz Rodeles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Aspectos clave de seguridad clínica en el desarrollo de vacunas</w:t>
            </w:r>
          </w:p>
        </w:tc>
      </w:tr>
      <w:tr w:rsidR="006B19BA" w14:paraId="5D343011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7D2CD214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11:30 - 12:00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3B844ABE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Laura Riera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A 20 años del registro de la vacuna contra Fiebre Hemorrágica Argentina: impacto, producción nacional y perspectivas</w:t>
            </w:r>
          </w:p>
        </w:tc>
      </w:tr>
      <w:tr w:rsidR="006B19BA" w14:paraId="0C91DEF1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3624DC3C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12:00 - 12:30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3F21BE64" w14:textId="77777777" w:rsidR="006B19BA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Juliana Cassataro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El recorrido de ARVAC: diseño, evaluación clínica, aprobación regulatoria y adaptación a nuevas variantes</w:t>
            </w: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</w:t>
            </w:r>
          </w:p>
        </w:tc>
      </w:tr>
      <w:tr w:rsidR="006B19BA" w14:paraId="7E80B7F0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53228A82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12:30 - 13:30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6F287796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Almuerzo</w:t>
            </w:r>
          </w:p>
        </w:tc>
      </w:tr>
      <w:tr w:rsidR="006B19BA" w14:paraId="479487EC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2B1D7B88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13:30 - 14:00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2518E84D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Ivana Gabriela Reidel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Estrategias para el desarrollo de vacunas contra </w:t>
            </w:r>
            <w:proofErr w:type="spellStart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gammaherpesvirus</w:t>
            </w:r>
            <w:proofErr w:type="spellEnd"/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 oncogénicos</w:t>
            </w:r>
          </w:p>
        </w:tc>
      </w:tr>
      <w:tr w:rsidR="006B19BA" w14:paraId="12F5058A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282F3A2F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14:00 - 14:30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36D7E18F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Iván Marcipar – </w:t>
            </w: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>Desarrollo de un esquema de vacunación terapéutica para el tratamiento de la enfermedad de Chagas</w:t>
            </w:r>
          </w:p>
        </w:tc>
      </w:tr>
      <w:tr w:rsidR="006B19BA" w14:paraId="390618D2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5CE249C3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14:30 - 16:00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70349461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Pausa café-Comunicaciones orales</w:t>
            </w:r>
          </w:p>
          <w:p w14:paraId="2C2D4593" w14:textId="77777777" w:rsidR="006B19BA" w:rsidRDefault="006B19BA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</w:p>
          <w:p w14:paraId="5FD2E773" w14:textId="77777777" w:rsidR="006B19BA" w:rsidRDefault="006B19BA">
            <w:pPr>
              <w:spacing w:after="0"/>
              <w:rPr>
                <w:rFonts w:ascii="Aptos Narrow" w:eastAsia="Aptos Narrow" w:hAnsi="Aptos Narrow" w:cs="Aptos Narrow"/>
              </w:rPr>
            </w:pPr>
          </w:p>
        </w:tc>
      </w:tr>
      <w:tr w:rsidR="006B19BA" w14:paraId="282A1DE1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39F2F54C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16:00 - 16:45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38B9499D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 xml:space="preserve">Mesa redonda: Long </w:t>
            </w:r>
            <w:proofErr w:type="spellStart"/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covid</w:t>
            </w:r>
            <w:proofErr w:type="spellEnd"/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- vacunación Organizadores Fundación Cassar</w:t>
            </w:r>
          </w:p>
          <w:p w14:paraId="3749E02E" w14:textId="77777777" w:rsidR="006B19BA" w:rsidRDefault="006B19BA">
            <w:pPr>
              <w:spacing w:after="0"/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</w:pPr>
          </w:p>
        </w:tc>
      </w:tr>
      <w:tr w:rsidR="006B19BA" w14:paraId="33662A88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72C8FA0E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</w:rPr>
              <w:t>17:00- 18:00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232DE991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Presentaciones orales</w:t>
            </w:r>
          </w:p>
        </w:tc>
      </w:tr>
      <w:tr w:rsidR="006B19BA" w14:paraId="3848D2B3" w14:textId="77777777">
        <w:tc>
          <w:tcPr>
            <w:tcW w:w="1920" w:type="dxa"/>
            <w:tcBorders>
              <w:top w:val="nil"/>
              <w:left w:val="single" w:sz="8" w:space="0" w:color="D8E2DC"/>
              <w:bottom w:val="single" w:sz="8" w:space="0" w:color="6B8F71"/>
              <w:right w:val="single" w:sz="8" w:space="0" w:color="6B8F71"/>
            </w:tcBorders>
            <w:tcMar>
              <w:top w:w="140" w:type="dxa"/>
              <w:left w:w="150" w:type="dxa"/>
              <w:bottom w:w="140" w:type="dxa"/>
              <w:right w:w="200" w:type="dxa"/>
            </w:tcMar>
            <w:vAlign w:val="center"/>
          </w:tcPr>
          <w:p w14:paraId="717A687D" w14:textId="77777777" w:rsidR="006B19BA" w:rsidRDefault="006B19BA">
            <w:pPr>
              <w:spacing w:after="0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6B8F71"/>
              <w:right w:val="single" w:sz="8" w:space="0" w:color="D8E2DC"/>
            </w:tcBorders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00076F63" w14:textId="77777777" w:rsidR="006B19BA" w:rsidRDefault="00000000">
            <w:pPr>
              <w:spacing w:after="0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  <w:i/>
                <w:iCs/>
                <w:sz w:val="22"/>
                <w:szCs w:val="22"/>
              </w:rPr>
              <w:t xml:space="preserve">Cierre del Día 2. Evaluación virtual </w:t>
            </w:r>
          </w:p>
        </w:tc>
      </w:tr>
    </w:tbl>
    <w:p w14:paraId="5CC7FD89" w14:textId="77777777" w:rsidR="006B19BA" w:rsidRDefault="006B19BA">
      <w:pPr>
        <w:spacing w:after="0" w:line="240" w:lineRule="auto"/>
        <w:rPr>
          <w:rFonts w:ascii="Aptos Narrow" w:eastAsia="Aptos Narrow" w:hAnsi="Aptos Narrow" w:cs="Aptos Narrow"/>
        </w:rPr>
      </w:pPr>
    </w:p>
    <w:p w14:paraId="7F565672" w14:textId="77777777" w:rsidR="006B19BA" w:rsidRDefault="006B19BA">
      <w:pPr>
        <w:rPr>
          <w:rFonts w:ascii="Aptos Narrow" w:eastAsia="Aptos Narrow" w:hAnsi="Aptos Narrow" w:cs="Aptos Narrow"/>
        </w:rPr>
      </w:pPr>
    </w:p>
    <w:sectPr w:rsidR="006B19B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425E102-4E3E-487B-89C1-EEC354DDFFFE}"/>
    <w:embedItalic r:id="rId2" w:fontKey="{F4E2577B-F75C-4AAC-9064-7100CCECC6C2}"/>
  </w:font>
  <w:font w:name="Play">
    <w:charset w:val="00"/>
    <w:family w:val="auto"/>
    <w:pitch w:val="default"/>
    <w:embedRegular r:id="rId3" w:fontKey="{5B1B7296-665A-493C-8142-5550F449E7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4" w:fontKey="{DF64F9B7-E39F-4D08-A153-2A2947F0BBC3}"/>
    <w:embedBold r:id="rId5" w:fontKey="{7EB7A976-F4A2-40B8-AC34-40D858AC331E}"/>
    <w:embedItalic r:id="rId6" w:fontKey="{E3F735A0-B0F8-48DF-8E4E-2860413822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59E28A3-C565-4200-85D1-E8B9CB0532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3B5E514-57BC-4E89-B8F6-4B04A18800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9BA"/>
    <w:rsid w:val="004E0331"/>
    <w:rsid w:val="006B19BA"/>
    <w:rsid w:val="00E4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E85C"/>
  <w15:docId w15:val="{453AEDBD-89FD-40A5-A788-40D3B06FA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" w:eastAsia="es-A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dPTVxo802ImVzdlFbOGpfSqMFQ==">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605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Lihue Rey</cp:lastModifiedBy>
  <cp:revision>2</cp:revision>
  <dcterms:created xsi:type="dcterms:W3CDTF">2026-07-08T19:22:00Z</dcterms:created>
  <dcterms:modified xsi:type="dcterms:W3CDTF">2026-07-08T19:22:00Z</dcterms:modified>
</cp:coreProperties>
</file>